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B10" w:rsidRDefault="00765B10" w:rsidP="00765B10">
      <w:pPr>
        <w:pStyle w:val="1"/>
      </w:pPr>
      <w:r>
        <w:t>(592-43-8)2-己烯的理化及危险特性表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765B1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标</w:t>
            </w:r>
          </w:p>
          <w:p w:rsidR="00765B10" w:rsidRDefault="00765B10" w:rsidP="0090435F">
            <w:pPr>
              <w:spacing w:line="266"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中文名：</w:t>
            </w:r>
            <w:r>
              <w:rPr>
                <w:rFonts w:ascii="宋体" w:hAnsi="宋体" w:hint="eastAsia"/>
                <w:szCs w:val="18"/>
              </w:rPr>
              <w:t>2-己烯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spacing w:val="-8"/>
              </w:rPr>
            </w:pPr>
            <w:r>
              <w:rPr>
                <w:rFonts w:ascii="宋体" w:hAnsi="宋体" w:hint="eastAsia"/>
              </w:rPr>
              <w:t>英文名：</w:t>
            </w:r>
            <w:r>
              <w:rPr>
                <w:rFonts w:ascii="宋体" w:hAnsi="宋体" w:hint="eastAsia"/>
                <w:szCs w:val="18"/>
              </w:rPr>
              <w:t>2-hexene </w:t>
            </w:r>
          </w:p>
        </w:tc>
      </w:tr>
      <w:tr w:rsidR="00765B10" w:rsidTr="0090435F">
        <w:trPr>
          <w:cantSplit/>
          <w:jc w:val="center"/>
        </w:trPr>
        <w:tc>
          <w:tcPr>
            <w:tcW w:w="489" w:type="dxa"/>
            <w:vMerge/>
            <w:tcBorders>
              <w:left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UN编号：</w:t>
            </w:r>
          </w:p>
        </w:tc>
      </w:tr>
      <w:tr w:rsidR="00765B10" w:rsidTr="0090435F">
        <w:trPr>
          <w:cantSplit/>
          <w:jc w:val="center"/>
        </w:trPr>
        <w:tc>
          <w:tcPr>
            <w:tcW w:w="489" w:type="dxa"/>
            <w:vMerge/>
            <w:tcBorders>
              <w:left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危规号： 31009</w:t>
            </w:r>
          </w:p>
        </w:tc>
        <w:tc>
          <w:tcPr>
            <w:tcW w:w="2170"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CAS号：</w:t>
            </w:r>
            <w:r>
              <w:rPr>
                <w:rFonts w:ascii="宋体" w:hAnsi="宋体" w:hint="eastAsia"/>
                <w:szCs w:val="18"/>
              </w:rPr>
              <w:t>592-43-8</w:t>
            </w:r>
          </w:p>
        </w:tc>
      </w:tr>
      <w:tr w:rsidR="00765B10" w:rsidTr="0090435F">
        <w:trPr>
          <w:cantSplit/>
          <w:jc w:val="center"/>
        </w:trPr>
        <w:tc>
          <w:tcPr>
            <w:tcW w:w="489" w:type="dxa"/>
            <w:vMerge/>
            <w:tcBorders>
              <w:left w:val="single" w:sz="4" w:space="0" w:color="auto"/>
              <w:bottom w:val="nil"/>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包装类别：Ⅰ类</w:t>
            </w:r>
          </w:p>
        </w:tc>
      </w:tr>
      <w:tr w:rsidR="00765B1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理</w:t>
            </w:r>
          </w:p>
          <w:p w:rsidR="00765B10" w:rsidRDefault="00765B10" w:rsidP="0090435F">
            <w:pPr>
              <w:spacing w:line="266" w:lineRule="exact"/>
              <w:rPr>
                <w:rFonts w:ascii="宋体" w:hAnsi="宋体"/>
              </w:rPr>
            </w:pPr>
            <w:r>
              <w:rPr>
                <w:rFonts w:ascii="宋体" w:hAnsi="宋体" w:hint="eastAsia"/>
              </w:rPr>
              <w:t>化</w:t>
            </w:r>
          </w:p>
          <w:p w:rsidR="00765B10" w:rsidRDefault="00765B10" w:rsidP="0090435F">
            <w:pPr>
              <w:spacing w:line="266" w:lineRule="exact"/>
              <w:rPr>
                <w:rFonts w:ascii="宋体" w:hAnsi="宋体"/>
              </w:rPr>
            </w:pPr>
            <w:r>
              <w:rPr>
                <w:rFonts w:ascii="宋体" w:hAnsi="宋体" w:hint="eastAsia"/>
              </w:rPr>
              <w:t>性</w:t>
            </w:r>
          </w:p>
          <w:p w:rsidR="00765B10" w:rsidRDefault="00765B10"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外观与性状：</w:t>
            </w:r>
            <w:r>
              <w:rPr>
                <w:rFonts w:ascii="宋体" w:hAnsi="宋体" w:hint="eastAsia"/>
                <w:szCs w:val="18"/>
              </w:rPr>
              <w:t>无色易挥发液体。</w:t>
            </w:r>
          </w:p>
        </w:tc>
      </w:tr>
      <w:tr w:rsidR="00765B1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溶解性 ：</w:t>
            </w:r>
            <w:r>
              <w:rPr>
                <w:rFonts w:ascii="宋体" w:hAnsi="宋体" w:hint="eastAsia"/>
                <w:szCs w:val="18"/>
              </w:rPr>
              <w:t>不溶于水，溶于乙醇、乙醚等。</w:t>
            </w:r>
          </w:p>
        </w:tc>
      </w:tr>
      <w:tr w:rsidR="00765B1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熔点（℃）：</w:t>
            </w:r>
            <w:r>
              <w:rPr>
                <w:rFonts w:ascii="宋体" w:hAnsi="宋体" w:hint="eastAsia"/>
                <w:szCs w:val="18"/>
              </w:rPr>
              <w:t>-141.4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沸点（℃）：</w:t>
            </w:r>
            <w:r>
              <w:rPr>
                <w:rFonts w:ascii="宋体" w:hAnsi="宋体" w:hint="eastAsia"/>
                <w:szCs w:val="18"/>
              </w:rPr>
              <w:t>68.5</w:t>
            </w:r>
          </w:p>
        </w:tc>
      </w:tr>
      <w:tr w:rsidR="00765B1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相对密度（水＝1）：</w:t>
            </w:r>
            <w:r>
              <w:rPr>
                <w:rFonts w:ascii="宋体" w:hAnsi="宋体" w:hint="eastAsia"/>
                <w:szCs w:val="18"/>
              </w:rPr>
              <w:t>0.69</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相对密度（空气＝1）：2.92</w:t>
            </w:r>
          </w:p>
        </w:tc>
      </w:tr>
      <w:tr w:rsidR="00765B1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饱和蒸气压（kPa）：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燃烧热（kJ/mol）：</w:t>
            </w:r>
            <w:r>
              <w:rPr>
                <w:rFonts w:ascii="宋体" w:hAnsi="宋体" w:hint="eastAsia"/>
                <w:szCs w:val="18"/>
              </w:rPr>
              <w:t>3981.9</w:t>
            </w:r>
          </w:p>
        </w:tc>
      </w:tr>
      <w:tr w:rsidR="00765B1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临界温度（℃）：243.5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临界压力（MPa）：</w:t>
            </w:r>
          </w:p>
        </w:tc>
      </w:tr>
      <w:tr w:rsidR="00765B1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燃</w:t>
            </w:r>
          </w:p>
          <w:p w:rsidR="00765B10" w:rsidRDefault="00765B10" w:rsidP="0090435F">
            <w:pPr>
              <w:spacing w:line="266" w:lineRule="exact"/>
              <w:rPr>
                <w:rFonts w:ascii="宋体" w:hAnsi="宋体"/>
              </w:rPr>
            </w:pPr>
            <w:r>
              <w:rPr>
                <w:rFonts w:ascii="宋体" w:hAnsi="宋体" w:hint="eastAsia"/>
              </w:rPr>
              <w:t>烧</w:t>
            </w:r>
          </w:p>
          <w:p w:rsidR="00765B10" w:rsidRDefault="00765B10" w:rsidP="0090435F">
            <w:pPr>
              <w:spacing w:line="266" w:lineRule="exact"/>
              <w:rPr>
                <w:rFonts w:ascii="宋体" w:hAnsi="宋体"/>
              </w:rPr>
            </w:pPr>
            <w:r>
              <w:rPr>
                <w:rFonts w:ascii="宋体" w:hAnsi="宋体" w:hint="eastAsia"/>
              </w:rPr>
              <w:t>爆</w:t>
            </w:r>
          </w:p>
          <w:p w:rsidR="00765B10" w:rsidRDefault="00765B10" w:rsidP="0090435F">
            <w:pPr>
              <w:spacing w:line="266" w:lineRule="exact"/>
              <w:rPr>
                <w:rFonts w:ascii="宋体" w:hAnsi="宋体"/>
              </w:rPr>
            </w:pPr>
            <w:r>
              <w:rPr>
                <w:rFonts w:ascii="宋体" w:hAnsi="宋体" w:hint="eastAsia"/>
              </w:rPr>
              <w:t>炸</w:t>
            </w:r>
          </w:p>
          <w:p w:rsidR="00765B10" w:rsidRDefault="00765B10" w:rsidP="0090435F">
            <w:pPr>
              <w:spacing w:line="266" w:lineRule="exact"/>
              <w:rPr>
                <w:rFonts w:ascii="宋体" w:hAnsi="宋体"/>
              </w:rPr>
            </w:pPr>
            <w:r>
              <w:rPr>
                <w:rFonts w:ascii="宋体" w:hAnsi="宋体" w:hint="eastAsia"/>
              </w:rPr>
              <w:t>危</w:t>
            </w:r>
          </w:p>
          <w:p w:rsidR="00765B10" w:rsidRDefault="00765B10" w:rsidP="0090435F">
            <w:pPr>
              <w:spacing w:line="266" w:lineRule="exact"/>
              <w:rPr>
                <w:rFonts w:ascii="宋体" w:hAnsi="宋体"/>
              </w:rPr>
            </w:pPr>
            <w:r>
              <w:rPr>
                <w:rFonts w:ascii="宋体" w:hAnsi="宋体" w:hint="eastAsia"/>
              </w:rPr>
              <w:t>险</w:t>
            </w:r>
          </w:p>
          <w:p w:rsidR="00765B10" w:rsidRDefault="00765B10" w:rsidP="0090435F">
            <w:pPr>
              <w:spacing w:line="266"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闪点（℃）： -20</w:t>
            </w:r>
          </w:p>
        </w:tc>
      </w:tr>
      <w:tr w:rsidR="00765B10" w:rsidTr="0090435F">
        <w:trPr>
          <w:cantSplit/>
          <w:jc w:val="center"/>
        </w:trPr>
        <w:tc>
          <w:tcPr>
            <w:tcW w:w="489" w:type="dxa"/>
            <w:vMerge/>
            <w:tcBorders>
              <w:top w:val="single" w:sz="4" w:space="0" w:color="auto"/>
              <w:left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1.2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爆炸上限（%）：</w:t>
            </w:r>
            <w:r>
              <w:rPr>
                <w:rFonts w:ascii="宋体" w:hAnsi="宋体" w:hint="eastAsia"/>
                <w:szCs w:val="18"/>
              </w:rPr>
              <w:t>无资料</w:t>
            </w:r>
          </w:p>
        </w:tc>
      </w:tr>
      <w:tr w:rsidR="00765B10" w:rsidTr="0090435F">
        <w:trPr>
          <w:cantSplit/>
          <w:jc w:val="center"/>
        </w:trPr>
        <w:tc>
          <w:tcPr>
            <w:tcW w:w="489" w:type="dxa"/>
            <w:vMerge/>
            <w:tcBorders>
              <w:top w:val="single" w:sz="4" w:space="0" w:color="auto"/>
              <w:left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引燃温度（℃）：</w:t>
            </w:r>
            <w:r>
              <w:rPr>
                <w:rFonts w:ascii="宋体" w:hAnsi="宋体" w:hint="eastAsia"/>
                <w:szCs w:val="18"/>
              </w:rPr>
              <w:t>245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最小点火能（mJ）：</w:t>
            </w:r>
            <w:r>
              <w:rPr>
                <w:rFonts w:ascii="宋体" w:hAnsi="宋体" w:hint="eastAsia"/>
                <w:szCs w:val="18"/>
              </w:rPr>
              <w:t>无资料</w:t>
            </w:r>
          </w:p>
        </w:tc>
      </w:tr>
      <w:tr w:rsidR="00765B10" w:rsidTr="0090435F">
        <w:trPr>
          <w:cantSplit/>
          <w:jc w:val="center"/>
        </w:trPr>
        <w:tc>
          <w:tcPr>
            <w:tcW w:w="489" w:type="dxa"/>
            <w:vMerge/>
            <w:tcBorders>
              <w:left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稳定性：稳定</w:t>
            </w:r>
          </w:p>
        </w:tc>
      </w:tr>
      <w:tr w:rsidR="00765B10" w:rsidTr="0090435F">
        <w:trPr>
          <w:cantSplit/>
          <w:jc w:val="center"/>
        </w:trPr>
        <w:tc>
          <w:tcPr>
            <w:tcW w:w="489" w:type="dxa"/>
            <w:vMerge/>
            <w:tcBorders>
              <w:left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聚合危害：聚合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765B10" w:rsidTr="0090435F">
        <w:trPr>
          <w:cantSplit/>
          <w:jc w:val="center"/>
        </w:trPr>
        <w:tc>
          <w:tcPr>
            <w:tcW w:w="489" w:type="dxa"/>
            <w:vMerge/>
            <w:tcBorders>
              <w:left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765B10"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容易自聚，聚合反应随着温度的上升而急骤加剧。其蒸气比空气重，能在较低处扩散到相当远的地方，遇火源会着火回燃。若遇高热，容器内压增大，有开裂和爆炸的危险。</w:t>
            </w:r>
          </w:p>
        </w:tc>
      </w:tr>
      <w:tr w:rsidR="00765B10" w:rsidTr="0090435F">
        <w:trPr>
          <w:cantSplit/>
          <w:jc w:val="center"/>
        </w:trPr>
        <w:tc>
          <w:tcPr>
            <w:tcW w:w="489" w:type="dxa"/>
            <w:vMerge/>
            <w:tcBorders>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765B1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毒</w:t>
            </w:r>
          </w:p>
          <w:p w:rsidR="00765B10" w:rsidRDefault="00765B10"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765B10" w:rsidRDefault="00765B10"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765B1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侵入途经：吸入、食入、经皮吸收。</w:t>
            </w:r>
          </w:p>
        </w:tc>
      </w:tr>
      <w:tr w:rsidR="00765B10"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szCs w:val="18"/>
              </w:rPr>
              <w:t>蒸气或雾对眼和上呼吸道有刺激性，接触后出现烧灼感、咳嗽、喘息、喉炎、气短、头痛、恶心和呕吐。</w:t>
            </w:r>
          </w:p>
        </w:tc>
      </w:tr>
      <w:tr w:rsidR="00765B10" w:rsidTr="0090435F">
        <w:trPr>
          <w:cantSplit/>
          <w:jc w:val="center"/>
        </w:trPr>
        <w:tc>
          <w:tcPr>
            <w:tcW w:w="489" w:type="dxa"/>
            <w:tcBorders>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急</w:t>
            </w:r>
          </w:p>
          <w:p w:rsidR="00765B10" w:rsidRDefault="00765B10"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※吸入：脱离现场至空气新鲜处。如呼吸困难，给输氧。就医。   ※食入：饮足量温水，催吐。就医。</w:t>
            </w:r>
          </w:p>
        </w:tc>
      </w:tr>
      <w:tr w:rsidR="00765B1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防</w:t>
            </w:r>
          </w:p>
          <w:p w:rsidR="00765B10" w:rsidRDefault="00765B10"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765B1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泄</w:t>
            </w:r>
          </w:p>
          <w:p w:rsidR="00765B10" w:rsidRDefault="00765B10" w:rsidP="0090435F">
            <w:pPr>
              <w:spacing w:line="266" w:lineRule="exact"/>
              <w:rPr>
                <w:rFonts w:ascii="宋体" w:hAnsi="宋体"/>
              </w:rPr>
            </w:pPr>
            <w:r>
              <w:rPr>
                <w:rFonts w:ascii="宋体" w:hAnsi="宋体" w:hint="eastAsia"/>
              </w:rPr>
              <w:t>漏</w:t>
            </w:r>
          </w:p>
          <w:p w:rsidR="00765B10" w:rsidRDefault="00765B10" w:rsidP="0090435F">
            <w:pPr>
              <w:spacing w:line="266" w:lineRule="exact"/>
              <w:rPr>
                <w:rFonts w:ascii="宋体" w:hAnsi="宋体"/>
              </w:rPr>
            </w:pPr>
            <w:r>
              <w:rPr>
                <w:rFonts w:ascii="宋体" w:hAnsi="宋体" w:hint="eastAsia"/>
              </w:rPr>
              <w:t>处</w:t>
            </w:r>
          </w:p>
          <w:p w:rsidR="00765B10" w:rsidRDefault="00765B10"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65B10" w:rsidRDefault="00765B10"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765B10" w:rsidTr="0090435F">
        <w:trPr>
          <w:cantSplit/>
          <w:jc w:val="center"/>
        </w:trPr>
        <w:tc>
          <w:tcPr>
            <w:tcW w:w="489" w:type="dxa"/>
            <w:tcBorders>
              <w:top w:val="single" w:sz="4" w:space="0" w:color="auto"/>
              <w:left w:val="single" w:sz="4" w:space="0" w:color="auto"/>
              <w:right w:val="single" w:sz="4" w:space="0" w:color="auto"/>
            </w:tcBorders>
            <w:vAlign w:val="center"/>
          </w:tcPr>
          <w:p w:rsidR="00765B10" w:rsidRDefault="00765B10" w:rsidP="0090435F">
            <w:pPr>
              <w:spacing w:line="266" w:lineRule="exact"/>
              <w:rPr>
                <w:rFonts w:ascii="宋体" w:hAnsi="宋体"/>
              </w:rPr>
            </w:pPr>
            <w:r>
              <w:rPr>
                <w:rFonts w:ascii="宋体" w:hAnsi="宋体" w:hint="eastAsia"/>
              </w:rPr>
              <w:t>储</w:t>
            </w:r>
          </w:p>
          <w:p w:rsidR="00765B10" w:rsidRDefault="00765B10"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765B10" w:rsidRDefault="00765B10"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分开存放，切忌混储。不宜大量储存或久存。采用防爆型照明、通风设施。禁止使用易产生火花的机械设备和工具。储区应备有泄漏应急处理设备和合适的收容材料。</w:t>
            </w:r>
          </w:p>
          <w:p w:rsidR="00765B10" w:rsidRDefault="00765B10"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10"/>
    <w:rsid w:val="00765B1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9D7FE-266A-4114-8D42-8013A779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65B1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65B1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Company>zyhq</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